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R4-2220242</w:t>
      </w:r>
      <w:r>
        <w:rPr>
          <w:rFonts w:ascii="Arial" w:hAnsi="Arial" w:cs="Arial"/>
          <w:b/>
          <w:color w:val="0000FF"/>
          <w:sz w:val="24"/>
          <w:u w:val="thick"/>
        </w:rPr>
        <w:t xml:space="preserve"> 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France,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18 Nov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WF for IoT over NTN SAN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9.5.9</w:t>
      </w:r>
      <w:bookmarkStart w:id="0" w:name="_GoBack"/>
      <w:bookmarkEnd w:id="0"/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Issue 1-3:  UE ACLR/ACS requirements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  <w:r>
        <w:rPr>
          <w:rFonts w:hint="eastAsia"/>
          <w:highlight w:val="none"/>
        </w:rPr>
        <w:t>reuse the TN NB-IoT UE ACLR/ACS requirement for IoT over NTN UE</w:t>
      </w:r>
    </w:p>
    <w:p>
      <w:pPr>
        <w:rPr>
          <w:b/>
          <w:bCs/>
          <w:highlight w:val="none"/>
          <w:u w:val="single"/>
        </w:rPr>
      </w:pPr>
      <w:r>
        <w:rPr>
          <w:rFonts w:hint="eastAsia"/>
          <w:b/>
          <w:bCs/>
          <w:highlight w:val="none"/>
          <w:u w:val="single"/>
        </w:rPr>
        <w:t>Issue 1-4:  SAN ACLR/ACS requirements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  <w:r>
        <w:rPr>
          <w:rFonts w:hint="eastAsia"/>
          <w:highlight w:val="none"/>
        </w:rPr>
        <w:t>the NR NTN SAN ACLR/ACS requirement for IoT over NTN SAN</w:t>
      </w:r>
    </w:p>
    <w:p>
      <w:pPr>
        <w:rPr>
          <w:b/>
          <w:bCs/>
          <w:highlight w:val="none"/>
          <w:u w:val="single"/>
        </w:rPr>
      </w:pPr>
      <w:r>
        <w:rPr>
          <w:b/>
          <w:bCs/>
          <w:highlight w:val="none"/>
          <w:u w:val="single"/>
        </w:rPr>
        <w:t xml:space="preserve">Issue </w:t>
      </w:r>
      <w:r>
        <w:rPr>
          <w:rFonts w:hint="eastAsia"/>
          <w:b/>
          <w:bCs/>
          <w:highlight w:val="none"/>
          <w:u w:val="single"/>
        </w:rPr>
        <w:t>2</w:t>
      </w:r>
      <w:r>
        <w:rPr>
          <w:b/>
          <w:bCs/>
          <w:highlight w:val="none"/>
          <w:u w:val="single"/>
        </w:rPr>
        <w:t>-</w:t>
      </w:r>
      <w:r>
        <w:rPr>
          <w:rFonts w:hint="eastAsia"/>
          <w:b/>
          <w:bCs/>
          <w:highlight w:val="none"/>
          <w:u w:val="single"/>
        </w:rPr>
        <w:t xml:space="preserve">1 IoT level for NB-IoT over NTN 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rFonts w:hint="eastAsia"/>
          <w:highlight w:val="none"/>
        </w:rPr>
        <w:t>For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GEO</w:t>
      </w:r>
      <w:r>
        <w:rPr>
          <w:highlight w:val="none"/>
        </w:rPr>
        <w:t xml:space="preserve">: IoT level as 20dBc 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Tentative agreement for LEO: IoT level as [31dBc], further discuss and refine the value not precluded in maintenance phase  </w:t>
      </w:r>
    </w:p>
    <w:p>
      <w:pPr>
        <w:rPr>
          <w:b/>
          <w:bCs/>
          <w:highlight w:val="none"/>
          <w:u w:val="single"/>
        </w:rPr>
      </w:pPr>
      <w:r>
        <w:rPr>
          <w:b/>
          <w:bCs/>
          <w:highlight w:val="none"/>
          <w:u w:val="single"/>
        </w:rPr>
        <w:t xml:space="preserve">Issue </w:t>
      </w:r>
      <w:r>
        <w:rPr>
          <w:rFonts w:hint="eastAsia"/>
          <w:b/>
          <w:bCs/>
          <w:highlight w:val="none"/>
          <w:u w:val="single"/>
        </w:rPr>
        <w:t>2</w:t>
      </w:r>
      <w:r>
        <w:rPr>
          <w:b/>
          <w:bCs/>
          <w:highlight w:val="none"/>
          <w:u w:val="single"/>
        </w:rPr>
        <w:t>-</w:t>
      </w:r>
      <w:r>
        <w:rPr>
          <w:rFonts w:hint="eastAsia"/>
          <w:b/>
          <w:bCs/>
          <w:highlight w:val="none"/>
          <w:u w:val="single"/>
        </w:rPr>
        <w:t xml:space="preserve">2 IoT level for MTC over NTN </w:t>
      </w:r>
    </w:p>
    <w:p>
      <w:pPr>
        <w:tabs>
          <w:tab w:val="right" w:pos="10440"/>
          <w:tab w:val="right" w:pos="13323"/>
        </w:tabs>
        <w:spacing w:after="0" w:line="260" w:lineRule="auto"/>
        <w:rPr>
          <w:szCs w:val="24"/>
          <w:highlight w:val="none"/>
          <w:lang w:val="en-US" w:eastAsia="zh-CN"/>
        </w:rPr>
      </w:pPr>
    </w:p>
    <w:p>
      <w:pPr>
        <w:ind w:left="360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0"/>
          <w:numId w:val="2"/>
        </w:numPr>
        <w:spacing w:before="120" w:line="280" w:lineRule="atLeast"/>
        <w:jc w:val="both"/>
        <w:rPr>
          <w:highlight w:val="none"/>
        </w:rPr>
      </w:pPr>
      <w:r>
        <w:rPr>
          <w:highlight w:val="none"/>
        </w:rPr>
        <w:t xml:space="preserve">LEO: </w:t>
      </w:r>
      <w:r>
        <w:rPr>
          <w:rFonts w:hint="eastAsia"/>
          <w:highlight w:val="none"/>
        </w:rPr>
        <w:t xml:space="preserve">Reuse IoT 15dB for </w:t>
      </w:r>
      <w:r>
        <w:rPr>
          <w:highlight w:val="none"/>
        </w:rPr>
        <w:t>MTC</w:t>
      </w:r>
      <w:r>
        <w:rPr>
          <w:rFonts w:hint="eastAsia"/>
          <w:highlight w:val="none"/>
        </w:rPr>
        <w:t xml:space="preserve"> over NTN</w:t>
      </w:r>
    </w:p>
    <w:p>
      <w:pPr>
        <w:rPr>
          <w:b/>
          <w:bCs/>
          <w:u w:val="single"/>
        </w:rPr>
      </w:pPr>
      <w:r>
        <w:rPr>
          <w:b/>
          <w:bCs/>
          <w:u w:val="single"/>
        </w:rPr>
        <w:t xml:space="preserve">Issue </w:t>
      </w:r>
      <w:r>
        <w:rPr>
          <w:rFonts w:hint="eastAsia"/>
          <w:b/>
          <w:bCs/>
          <w:u w:val="single"/>
        </w:rPr>
        <w:t>2</w:t>
      </w:r>
      <w:r>
        <w:rPr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 xml:space="preserve">3 In channel selectivity requirement for MTC over NTN </w:t>
      </w:r>
    </w:p>
    <w:p>
      <w:pPr>
        <w:ind w:left="360"/>
      </w:pPr>
      <w: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ind w:left="1440"/>
      </w:pPr>
      <w:r>
        <w:rPr>
          <w:rFonts w:hint="eastAsia"/>
          <w:lang w:val="en-US" w:eastAsia="zh-CN"/>
        </w:rPr>
        <w:t>Stick to the previous agreement</w:t>
      </w:r>
      <w:r>
        <w:t>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467"/>
        <w:gridCol w:w="3291"/>
        <w:gridCol w:w="5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95"/>
              <w:spacing w:before="120" w:line="280" w:lineRule="atLeast"/>
              <w:jc w:val="both"/>
              <w:rPr>
                <w:lang w:eastAsia="en-GB"/>
              </w:rPr>
            </w:pPr>
            <w:r>
              <w:rPr>
                <w:lang w:eastAsia="en-GB"/>
              </w:rPr>
              <w:t xml:space="preserve">In-channel selectivity </w:t>
            </w:r>
          </w:p>
        </w:tc>
        <w:tc>
          <w:tcPr>
            <w:tcW w:w="0" w:type="auto"/>
          </w:tcPr>
          <w:p>
            <w:pPr>
              <w:pStyle w:val="95"/>
              <w:spacing w:before="120" w:line="280" w:lineRule="atLeast"/>
              <w:jc w:val="both"/>
              <w:rPr>
                <w:lang w:eastAsia="en-GB"/>
              </w:rPr>
            </w:pPr>
            <w:r>
              <w:rPr>
                <w:lang w:eastAsia="en-GB"/>
              </w:rPr>
              <w:t>7.8</w:t>
            </w:r>
          </w:p>
        </w:tc>
        <w:tc>
          <w:tcPr>
            <w:tcW w:w="0" w:type="auto"/>
          </w:tcPr>
          <w:p>
            <w:pPr>
              <w:pStyle w:val="95"/>
              <w:spacing w:before="120" w:line="280" w:lineRule="atLeast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needed</w:t>
            </w:r>
          </w:p>
          <w:p>
            <w:pPr>
              <w:pStyle w:val="95"/>
              <w:spacing w:before="120" w:line="280" w:lineRule="atLeast"/>
              <w:jc w:val="both"/>
              <w:rPr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en-GB"/>
              </w:rPr>
              <w:t>[Not needed as no requirement for NB-IoT SA in TS36.104.]</w:t>
            </w:r>
          </w:p>
        </w:tc>
        <w:tc>
          <w:tcPr>
            <w:tcW w:w="0" w:type="auto"/>
          </w:tcPr>
          <w:p>
            <w:pPr>
              <w:pStyle w:val="71"/>
              <w:spacing w:before="120" w:line="259" w:lineRule="auto"/>
              <w:ind w:left="0" w:firstLine="0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For GEO and LEO, to reuse ICS level as 12 dB for GEO, 24dB for LEO used for NR over NTN in Rel-17.</w:t>
            </w:r>
          </w:p>
          <w:p>
            <w:pPr>
              <w:pStyle w:val="71"/>
              <w:spacing w:before="120" w:line="259" w:lineRule="auto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Reuse the same </w:t>
            </w:r>
            <w:r>
              <w:rPr>
                <w:rFonts w:cs="Arial"/>
                <w:lang w:val="en-US" w:eastAsia="en-GB"/>
              </w:rPr>
              <w:t>FRC A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  <w:lang w:val="en-US" w:eastAsia="en-GB"/>
              </w:rPr>
              <w:t>-</w:t>
            </w:r>
            <w:r>
              <w:rPr>
                <w:rFonts w:hint="eastAsia" w:cs="Arial"/>
                <w:lang w:val="en-US" w:eastAsia="zh-CN"/>
              </w:rPr>
              <w:t>4 and SNR f</w:t>
            </w:r>
            <w:r>
              <w:rPr>
                <w:rFonts w:hint="eastAsia"/>
                <w:lang w:val="en-US" w:eastAsia="zh-CN"/>
              </w:rPr>
              <w:t xml:space="preserve">or 1.4MHz LTE BW; </w:t>
            </w:r>
          </w:p>
          <w:p>
            <w:pPr>
              <w:pStyle w:val="71"/>
              <w:spacing w:before="120" w:line="259" w:lineRule="auto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71"/>
              <w:spacing w:before="120" w:line="259" w:lineRule="auto"/>
              <w:ind w:left="0" w:firstLine="0"/>
              <w:jc w:val="both"/>
              <w:rPr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>Reuse the implementation margin as 2dB;</w:t>
            </w:r>
          </w:p>
        </w:tc>
      </w:tr>
    </w:tbl>
    <w:p>
      <w:pPr>
        <w:pStyle w:val="87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977181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D52A67"/>
    <w:rsid w:val="063467E5"/>
    <w:rsid w:val="067D2939"/>
    <w:rsid w:val="067E7AFF"/>
    <w:rsid w:val="06F90C69"/>
    <w:rsid w:val="072C24E3"/>
    <w:rsid w:val="081852B6"/>
    <w:rsid w:val="090F1D8C"/>
    <w:rsid w:val="096C5763"/>
    <w:rsid w:val="0A467BD4"/>
    <w:rsid w:val="0A7A3A6F"/>
    <w:rsid w:val="0AB35C28"/>
    <w:rsid w:val="0AC70E4D"/>
    <w:rsid w:val="0B1B407F"/>
    <w:rsid w:val="0B861833"/>
    <w:rsid w:val="0C9639D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33C24A6"/>
    <w:rsid w:val="141C5906"/>
    <w:rsid w:val="142D2518"/>
    <w:rsid w:val="14304C8C"/>
    <w:rsid w:val="14774D1A"/>
    <w:rsid w:val="148131EC"/>
    <w:rsid w:val="14E9666F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AAF1954"/>
    <w:rsid w:val="1AD15F16"/>
    <w:rsid w:val="1B2D79CD"/>
    <w:rsid w:val="1C067DE7"/>
    <w:rsid w:val="1C91599E"/>
    <w:rsid w:val="1C9408FD"/>
    <w:rsid w:val="1D1835B6"/>
    <w:rsid w:val="1D741944"/>
    <w:rsid w:val="1D940B76"/>
    <w:rsid w:val="1D9416B2"/>
    <w:rsid w:val="1E140EA0"/>
    <w:rsid w:val="1EC919BF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9E17D4"/>
    <w:rsid w:val="31AE0F7B"/>
    <w:rsid w:val="32D73973"/>
    <w:rsid w:val="32F644CA"/>
    <w:rsid w:val="33024B42"/>
    <w:rsid w:val="337C596E"/>
    <w:rsid w:val="34211DC3"/>
    <w:rsid w:val="34457C7B"/>
    <w:rsid w:val="34562BD9"/>
    <w:rsid w:val="349011AD"/>
    <w:rsid w:val="34E838FF"/>
    <w:rsid w:val="35CE36F4"/>
    <w:rsid w:val="36425C10"/>
    <w:rsid w:val="36545850"/>
    <w:rsid w:val="365509D9"/>
    <w:rsid w:val="36E376B5"/>
    <w:rsid w:val="374851A2"/>
    <w:rsid w:val="37A30542"/>
    <w:rsid w:val="37CB439B"/>
    <w:rsid w:val="38114253"/>
    <w:rsid w:val="38201F58"/>
    <w:rsid w:val="38E40EC7"/>
    <w:rsid w:val="397B2105"/>
    <w:rsid w:val="39992131"/>
    <w:rsid w:val="399D0C47"/>
    <w:rsid w:val="39C04C76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EAF1C9E"/>
    <w:rsid w:val="3F3A5985"/>
    <w:rsid w:val="3F5B2C54"/>
    <w:rsid w:val="401B2443"/>
    <w:rsid w:val="408C5231"/>
    <w:rsid w:val="410913DA"/>
    <w:rsid w:val="41542A12"/>
    <w:rsid w:val="41940949"/>
    <w:rsid w:val="41D506BB"/>
    <w:rsid w:val="41EF7F1F"/>
    <w:rsid w:val="43205793"/>
    <w:rsid w:val="4335357A"/>
    <w:rsid w:val="43D47DA0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570114"/>
    <w:rsid w:val="49724F29"/>
    <w:rsid w:val="49934D61"/>
    <w:rsid w:val="4A427C1B"/>
    <w:rsid w:val="4A7172F6"/>
    <w:rsid w:val="4B085909"/>
    <w:rsid w:val="4B9C56DF"/>
    <w:rsid w:val="4BB12379"/>
    <w:rsid w:val="4BF837D2"/>
    <w:rsid w:val="4C401BFB"/>
    <w:rsid w:val="4CC40142"/>
    <w:rsid w:val="4CEA793E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7B667C"/>
    <w:rsid w:val="5A9C15E1"/>
    <w:rsid w:val="5AB318EC"/>
    <w:rsid w:val="5CA21F53"/>
    <w:rsid w:val="5D166FA1"/>
    <w:rsid w:val="5D64614D"/>
    <w:rsid w:val="5D6F0A1C"/>
    <w:rsid w:val="5ED955F8"/>
    <w:rsid w:val="5F317902"/>
    <w:rsid w:val="5F645C40"/>
    <w:rsid w:val="5F952EAD"/>
    <w:rsid w:val="6077058D"/>
    <w:rsid w:val="608D1FBB"/>
    <w:rsid w:val="60D661AE"/>
    <w:rsid w:val="614B0980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34EB5"/>
    <w:rsid w:val="68960123"/>
    <w:rsid w:val="68985CF0"/>
    <w:rsid w:val="68CD05A2"/>
    <w:rsid w:val="692C67D9"/>
    <w:rsid w:val="69356F95"/>
    <w:rsid w:val="695031C6"/>
    <w:rsid w:val="69EF54FA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4903B8"/>
    <w:rsid w:val="70C608BE"/>
    <w:rsid w:val="712F05F8"/>
    <w:rsid w:val="71503782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79720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DF6B91"/>
    <w:rsid w:val="7EFE6536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2022-11-17T16:17:57Z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